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line="240" w:lineRule="auto"/>
        <w:jc w:val="center"/>
        <w:rPr/>
      </w:pPr>
      <w:r w:rsidDel="00000000" w:rsidR="00000000" w:rsidRPr="00000000">
        <w:rPr>
          <w:rFonts w:ascii="Times New Roman" w:cs="Times New Roman" w:eastAsia="Times New Roman" w:hAnsi="Times New Roman"/>
          <w:b w:val="1"/>
          <w:rtl w:val="0"/>
        </w:rPr>
        <w:t xml:space="preserve">ASSOCIATED STUDENTS OF THE UNIVERSITY OF HAWAIʻI AT MĀNOA</w:t>
      </w:r>
      <w:r w:rsidDel="00000000" w:rsidR="00000000" w:rsidRPr="00000000">
        <w:rPr>
          <w:rtl w:val="0"/>
        </w:rPr>
      </w:r>
    </w:p>
    <w:p w:rsidR="00000000" w:rsidDel="00000000" w:rsidP="00000000" w:rsidRDefault="00000000" w:rsidRPr="00000000" w14:paraId="00000002">
      <w:pPr>
        <w:pageBreakBefore w:val="0"/>
        <w:spacing w:line="240" w:lineRule="auto"/>
        <w:jc w:val="center"/>
        <w:rPr/>
      </w:pPr>
      <w:r w:rsidDel="00000000" w:rsidR="00000000" w:rsidRPr="00000000">
        <w:rPr>
          <w:rFonts w:ascii="Times New Roman" w:cs="Times New Roman" w:eastAsia="Times New Roman" w:hAnsi="Times New Roman"/>
          <w:b w:val="1"/>
          <w:rtl w:val="0"/>
        </w:rPr>
        <w:t xml:space="preserve">2465 Campus Road, Campus Center 211A</w:t>
      </w:r>
      <w:r w:rsidDel="00000000" w:rsidR="00000000" w:rsidRPr="00000000">
        <w:rPr>
          <w:rtl w:val="0"/>
        </w:rPr>
      </w:r>
    </w:p>
    <w:p w:rsidR="00000000" w:rsidDel="00000000" w:rsidP="00000000" w:rsidRDefault="00000000" w:rsidRPr="00000000" w14:paraId="00000003">
      <w:pPr>
        <w:pageBreakBefore w:val="0"/>
        <w:spacing w:line="240" w:lineRule="auto"/>
        <w:jc w:val="center"/>
        <w:rPr/>
      </w:pPr>
      <w:r w:rsidDel="00000000" w:rsidR="00000000" w:rsidRPr="00000000">
        <w:rPr>
          <w:rFonts w:ascii="Times New Roman" w:cs="Times New Roman" w:eastAsia="Times New Roman" w:hAnsi="Times New Roman"/>
          <w:b w:val="1"/>
          <w:rtl w:val="0"/>
        </w:rPr>
        <w:t xml:space="preserve">Honolulu, HI 96822</w:t>
      </w:r>
      <w:r w:rsidDel="00000000" w:rsidR="00000000" w:rsidRPr="00000000">
        <w:rPr>
          <w:rtl w:val="0"/>
        </w:rPr>
      </w:r>
    </w:p>
    <w:p w:rsidR="00000000" w:rsidDel="00000000" w:rsidP="00000000" w:rsidRDefault="00000000" w:rsidRPr="00000000" w14:paraId="00000004">
      <w:pPr>
        <w:pageBreakBefore w:val="0"/>
        <w:spacing w:line="240" w:lineRule="auto"/>
        <w:jc w:val="center"/>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05">
      <w:pPr>
        <w:pageBreakBefore w:val="0"/>
        <w:tabs>
          <w:tab w:val="left" w:pos="7650"/>
        </w:tabs>
        <w:spacing w:line="240" w:lineRule="auto"/>
        <w:rPr/>
      </w:pPr>
      <w:r w:rsidDel="00000000" w:rsidR="00000000" w:rsidRPr="00000000">
        <w:rPr>
          <w:rtl w:val="0"/>
        </w:rPr>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SENATE ACT 41-22:</w:t>
      </w:r>
    </w:p>
    <w:p w:rsidR="00000000" w:rsidDel="00000000" w:rsidP="00000000" w:rsidRDefault="00000000" w:rsidRPr="00000000" w14:paraId="00000007">
      <w:pPr>
        <w:pageBreakBefore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keepNext w:val="0"/>
        <w:keepLines w:val="0"/>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 Appropriate Funding for Emergency Student Housing Deposit </w:t>
      </w:r>
    </w:p>
    <w:p w:rsidR="00000000" w:rsidDel="00000000" w:rsidP="00000000" w:rsidRDefault="00000000" w:rsidRPr="00000000" w14:paraId="00000009">
      <w:pPr>
        <w:keepNext w:val="0"/>
        <w:keepLines w:val="0"/>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pageBreakBefore w:val="0"/>
        <w:spacing w:line="240" w:lineRule="auto"/>
        <w:rPr/>
      </w:pPr>
      <w:r w:rsidDel="00000000" w:rsidR="00000000" w:rsidRPr="00000000">
        <w:rPr>
          <w:rFonts w:ascii="Times New Roman" w:cs="Times New Roman" w:eastAsia="Times New Roman" w:hAnsi="Times New Roman"/>
          <w:u w:val="single"/>
          <w:rtl w:val="0"/>
        </w:rPr>
        <w:t xml:space="preserve">BE IT ENACTED BY THE UNDERGRADUATE STUDENT SENATE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B">
      <w:pPr>
        <w:pageBreakBefore w:val="0"/>
        <w:spacing w:line="24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C">
      <w:pPr>
        <w:pageBreakBefore w:val="0"/>
        <w:spacing w:line="240" w:lineRule="auto"/>
        <w:ind w:left="14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I. </w:t>
        <w:tab/>
      </w:r>
      <w:r w:rsidDel="00000000" w:rsidR="00000000" w:rsidRPr="00000000">
        <w:rPr>
          <w:rFonts w:ascii="Times New Roman" w:cs="Times New Roman" w:eastAsia="Times New Roman" w:hAnsi="Times New Roman"/>
          <w:u w:val="single"/>
          <w:rtl w:val="0"/>
        </w:rPr>
        <w:t xml:space="preserve">PURPOSE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pageBreakBefore w:val="0"/>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appropriate funding to cover the Emergency Student Housing Deposit, an expense that is required for all students in UH Student Housing utilizing the Emergency Student Housing Program. </w:t>
      </w:r>
    </w:p>
    <w:p w:rsidR="00000000" w:rsidDel="00000000" w:rsidP="00000000" w:rsidRDefault="00000000" w:rsidRPr="00000000" w14:paraId="0000000E">
      <w:pPr>
        <w:pageBreakBefore w:val="0"/>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ongoing pandemic and concerns related to student basic needs, this funding is to support a pilot emergency housing program designed to stabilize and give security to students in need of housing. Currently, this program covers a voucher for a week of housing and meals though it does not cover the $100 deposit fee per student.  A deposit is required for all student residents of UH Student Housing but may be a barrier to those experiencing an emergency need.</w:t>
      </w:r>
    </w:p>
    <w:p w:rsidR="00000000" w:rsidDel="00000000" w:rsidP="00000000" w:rsidRDefault="00000000" w:rsidRPr="00000000" w14:paraId="00000010">
      <w:pPr>
        <w:pageBreakBefore w:val="0"/>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funding will be transferred to a residential life account in its entirety to cover the deposit fee in case a student is unable to cover it.  It will be administered by Residential Life and Student Housing Services. </w:t>
      </w:r>
    </w:p>
    <w:p w:rsidR="00000000" w:rsidDel="00000000" w:rsidP="00000000" w:rsidRDefault="00000000" w:rsidRPr="00000000" w14:paraId="00000012">
      <w:pPr>
        <w:pageBreakBefore w:val="0"/>
        <w:spacing w:line="240" w:lineRule="auto"/>
        <w:ind w:left="720" w:firstLine="72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3">
      <w:pPr>
        <w:pageBreakBefore w:val="0"/>
        <w:spacing w:line="240" w:lineRule="auto"/>
        <w:ind w:left="1440"/>
        <w:rPr/>
      </w:pPr>
      <w:r w:rsidDel="00000000" w:rsidR="00000000" w:rsidRPr="00000000">
        <w:rPr>
          <w:rFonts w:ascii="Times New Roman" w:cs="Times New Roman" w:eastAsia="Times New Roman" w:hAnsi="Times New Roman"/>
          <w:rtl w:val="0"/>
        </w:rPr>
        <w:t xml:space="preserve">SECTION II.</w:t>
        <w:tab/>
      </w:r>
      <w:r w:rsidDel="00000000" w:rsidR="00000000" w:rsidRPr="00000000">
        <w:rPr>
          <w:rFonts w:ascii="Times New Roman" w:cs="Times New Roman" w:eastAsia="Times New Roman" w:hAnsi="Times New Roman"/>
          <w:u w:val="single"/>
          <w:rtl w:val="0"/>
        </w:rPr>
        <w:t xml:space="preserve">APPROPRIATIONS</w:t>
      </w:r>
      <w:r w:rsidDel="00000000" w:rsidR="00000000" w:rsidRPr="00000000">
        <w:rPr>
          <w:rtl w:val="0"/>
        </w:rPr>
      </w:r>
    </w:p>
    <w:p w:rsidR="00000000" w:rsidDel="00000000" w:rsidP="00000000" w:rsidRDefault="00000000" w:rsidRPr="00000000" w14:paraId="00000014">
      <w:pPr>
        <w:pageBreakBefore w:val="0"/>
        <w:spacing w:line="240" w:lineRule="auto"/>
        <w:ind w:left="1440" w:firstLine="0"/>
        <w:rPr/>
      </w:pPr>
      <w:r w:rsidDel="00000000" w:rsidR="00000000" w:rsidRPr="00000000">
        <w:rPr>
          <w:rFonts w:ascii="Times New Roman" w:cs="Times New Roman" w:eastAsia="Times New Roman" w:hAnsi="Times New Roman"/>
          <w:rtl w:val="0"/>
        </w:rPr>
        <w:t xml:space="preserve">A total of $1,000.00 shall be appropriated from Senate Account </w:t>
      </w:r>
      <w:r w:rsidDel="00000000" w:rsidR="00000000" w:rsidRPr="00000000">
        <w:rPr>
          <w:rFonts w:ascii="Times New Roman" w:cs="Times New Roman" w:eastAsia="Times New Roman" w:hAnsi="Times New Roman"/>
          <w:rtl w:val="0"/>
        </w:rPr>
        <w:t xml:space="preserve">#3325232 (University Programs, Services and Support).</w:t>
      </w:r>
      <w:r w:rsidDel="00000000" w:rsidR="00000000" w:rsidRPr="00000000">
        <w:rPr>
          <w:rtl w:val="0"/>
        </w:rPr>
      </w:r>
    </w:p>
    <w:p w:rsidR="00000000" w:rsidDel="00000000" w:rsidP="00000000" w:rsidRDefault="00000000" w:rsidRPr="00000000" w14:paraId="00000015">
      <w:pPr>
        <w:pageBreakBefore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pageBreakBefore w:val="0"/>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Transfer for Housing Deposit……………………………………………$1,000.00</w:t>
      </w:r>
    </w:p>
    <w:p w:rsidR="00000000" w:rsidDel="00000000" w:rsidP="00000000" w:rsidRDefault="00000000" w:rsidRPr="00000000" w14:paraId="00000018">
      <w:pPr>
        <w:pageBreakBefore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pageBreakBefore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pageBreakBefore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Total......................................................................$1,000.00 </w:t>
      </w:r>
    </w:p>
    <w:p w:rsidR="00000000" w:rsidDel="00000000" w:rsidP="00000000" w:rsidRDefault="00000000" w:rsidRPr="00000000" w14:paraId="0000001B">
      <w:pPr>
        <w:pageBreakBefore w:val="0"/>
        <w:spacing w:line="240" w:lineRule="auto"/>
        <w:ind w:left="1440" w:firstLine="0"/>
        <w:rPr/>
      </w:pPr>
      <w:r w:rsidDel="00000000" w:rsidR="00000000" w:rsidRPr="00000000">
        <w:rPr>
          <w:rFonts w:ascii="Times New Roman" w:cs="Times New Roman" w:eastAsia="Times New Roman" w:hAnsi="Times New Roman"/>
          <w:rtl w:val="0"/>
        </w:rPr>
        <w:t xml:space="preserve">                                            </w:t>
        <w:tab/>
      </w:r>
      <w:r w:rsidDel="00000000" w:rsidR="00000000" w:rsidRPr="00000000">
        <w:rPr>
          <w:rtl w:val="0"/>
        </w:rPr>
      </w:r>
    </w:p>
    <w:p w:rsidR="00000000" w:rsidDel="00000000" w:rsidP="00000000" w:rsidRDefault="00000000" w:rsidRPr="00000000" w14:paraId="0000001C">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III.   </w:t>
      </w:r>
      <w:r w:rsidDel="00000000" w:rsidR="00000000" w:rsidRPr="00000000">
        <w:rPr>
          <w:rFonts w:ascii="Times New Roman" w:cs="Times New Roman" w:eastAsia="Times New Roman" w:hAnsi="Times New Roman"/>
          <w:u w:val="single"/>
          <w:rtl w:val="0"/>
        </w:rPr>
        <w:t xml:space="preserve">PROVISIONS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D">
      <w:pPr>
        <w:pageBreakBefore w:val="0"/>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ASUH shall be recognized as co-funding this program. </w:t>
      </w:r>
    </w:p>
    <w:p w:rsidR="00000000" w:rsidDel="00000000" w:rsidP="00000000" w:rsidRDefault="00000000" w:rsidRPr="00000000" w14:paraId="0000001E">
      <w:pPr>
        <w:pageBreakBefore w:val="0"/>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Deposits that are not used to cover non-room and board expenses for a student will return to the residential life account after check-out to be reused for another student’s deposit.  Funds will remain in the residential life account until they are fully expended or it is determined by the Vice Provost for Student Success and residential life staff that an emergency housing program will no longer be available and/or a deposit for said program is no longer required.</w:t>
      </w:r>
    </w:p>
    <w:p w:rsidR="00000000" w:rsidDel="00000000" w:rsidP="00000000" w:rsidRDefault="00000000" w:rsidRPr="00000000" w14:paraId="00000020">
      <w:pP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funds will be used to support deposits for full-time, classified students at UH Manoa using the Emergency Student Housing Program who are unable to cover the cost.</w:t>
      </w:r>
    </w:p>
    <w:p w:rsidR="00000000" w:rsidDel="00000000" w:rsidP="00000000" w:rsidRDefault="00000000" w:rsidRPr="00000000" w14:paraId="00000022">
      <w:pPr>
        <w:pageBreakBefore w:val="0"/>
        <w:spacing w:line="240" w:lineRule="auto"/>
        <w:ind w:left="14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ageBreakBefore w:val="0"/>
        <w:spacing w:line="240" w:lineRule="auto"/>
        <w:ind w:left="1440"/>
        <w:rPr/>
      </w:pPr>
      <w:r w:rsidDel="00000000" w:rsidR="00000000" w:rsidRPr="00000000">
        <w:rPr>
          <w:rFonts w:ascii="Times New Roman" w:cs="Times New Roman" w:eastAsia="Times New Roman" w:hAnsi="Times New Roman"/>
          <w:rtl w:val="0"/>
        </w:rPr>
        <w:t xml:space="preserve">SECTION IV. </w:t>
        <w:tab/>
        <w:t xml:space="preserve">Upon approval of the senate, funds shall be transferred to a residential life account.  Any unexpended and unencumbered balance of any appropriation of this Act remaining with ASUH as of the close of business on </w:t>
      </w:r>
      <w:r w:rsidDel="00000000" w:rsidR="00000000" w:rsidRPr="00000000">
        <w:rPr>
          <w:rFonts w:ascii="Times New Roman" w:cs="Times New Roman" w:eastAsia="Times New Roman" w:hAnsi="Times New Roman"/>
          <w:u w:val="single"/>
          <w:rtl w:val="0"/>
        </w:rPr>
        <w:t xml:space="preserve">May 6, 2022</w:t>
      </w:r>
      <w:r w:rsidDel="00000000" w:rsidR="00000000" w:rsidRPr="00000000">
        <w:rPr>
          <w:rFonts w:ascii="Times New Roman" w:cs="Times New Roman" w:eastAsia="Times New Roman" w:hAnsi="Times New Roman"/>
          <w:rtl w:val="0"/>
        </w:rPr>
        <w:t xml:space="preserve"> shall lapse into Senate Account #3325232.  </w:t>
      </w:r>
      <w:r w:rsidDel="00000000" w:rsidR="00000000" w:rsidRPr="00000000">
        <w:rPr>
          <w:rtl w:val="0"/>
        </w:rPr>
      </w:r>
    </w:p>
    <w:p w:rsidR="00000000" w:rsidDel="00000000" w:rsidP="00000000" w:rsidRDefault="00000000" w:rsidRPr="00000000" w14:paraId="00000024">
      <w:pPr>
        <w:pageBreakBefore w:val="0"/>
        <w:spacing w:line="240" w:lineRule="auto"/>
        <w:ind w:left="144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5">
      <w:pPr>
        <w:pageBreakBefore w:val="0"/>
        <w:spacing w:line="240" w:lineRule="auto"/>
        <w:ind w:left="1440"/>
        <w:rPr/>
      </w:pPr>
      <w:r w:rsidDel="00000000" w:rsidR="00000000" w:rsidRPr="00000000">
        <w:rPr>
          <w:rFonts w:ascii="Times New Roman" w:cs="Times New Roman" w:eastAsia="Times New Roman" w:hAnsi="Times New Roman"/>
          <w:rtl w:val="0"/>
        </w:rPr>
        <w:t xml:space="preserve">SECTION V.  </w:t>
        <w:tab/>
        <w:t xml:space="preserve">The Treasurer is authorized to draw upon said account. </w:t>
      </w:r>
      <w:r w:rsidDel="00000000" w:rsidR="00000000" w:rsidRPr="00000000">
        <w:rPr>
          <w:rtl w:val="0"/>
        </w:rPr>
      </w:r>
    </w:p>
    <w:p w:rsidR="00000000" w:rsidDel="00000000" w:rsidP="00000000" w:rsidRDefault="00000000" w:rsidRPr="00000000" w14:paraId="00000026">
      <w:pPr>
        <w:pageBreakBefore w:val="0"/>
        <w:spacing w:line="240" w:lineRule="auto"/>
        <w:ind w:left="144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7">
      <w:pPr>
        <w:pageBreakBefore w:val="0"/>
        <w:spacing w:line="240" w:lineRule="auto"/>
        <w:ind w:left="1440"/>
        <w:rPr/>
      </w:pPr>
      <w:r w:rsidDel="00000000" w:rsidR="00000000" w:rsidRPr="00000000">
        <w:rPr>
          <w:rFonts w:ascii="Times New Roman" w:cs="Times New Roman" w:eastAsia="Times New Roman" w:hAnsi="Times New Roman"/>
          <w:rtl w:val="0"/>
        </w:rPr>
        <w:t xml:space="preserve">SECTION IV. </w:t>
        <w:tab/>
        <w:t xml:space="preserve">This act shall take effect upon approval by the Senate.</w:t>
      </w:r>
      <w:r w:rsidDel="00000000" w:rsidR="00000000" w:rsidRPr="00000000">
        <w:rPr>
          <w:rtl w:val="0"/>
        </w:rPr>
      </w:r>
    </w:p>
    <w:p w:rsidR="00000000" w:rsidDel="00000000" w:rsidP="00000000" w:rsidRDefault="00000000" w:rsidRPr="00000000" w14:paraId="00000028">
      <w:pPr>
        <w:pageBreakBefore w:val="0"/>
        <w:spacing w:line="240" w:lineRule="auto"/>
        <w:ind w:left="144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9">
      <w:pPr>
        <w:pageBreakBefore w:val="0"/>
        <w:spacing w:line="240" w:lineRule="auto"/>
        <w:ind w:left="14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Introduced by iVice-President Kasal-Barsky and Senator Jason Chen</w:t>
      </w:r>
    </w:p>
    <w:p w:rsidR="00000000" w:rsidDel="00000000" w:rsidP="00000000" w:rsidRDefault="00000000" w:rsidRPr="00000000" w14:paraId="0000002A">
      <w:pPr>
        <w:pageBreakBefore w:val="0"/>
        <w:spacing w:line="240" w:lineRule="auto"/>
        <w:ind w:left="14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 ROLL CALL VOTE TO APPROVE SENATE BILL 41-22: TO APPROPRIATE FUNDING FOR EMERGENCY STUDENT HOUSING DEPOSIT</w:t>
      </w:r>
    </w:p>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Aye(s):  [11] </w:t>
      </w:r>
      <w:r w:rsidDel="00000000" w:rsidR="00000000" w:rsidRPr="00000000">
        <w:rPr>
          <w:rFonts w:ascii="Times New Roman" w:cs="Times New Roman" w:eastAsia="Times New Roman" w:hAnsi="Times New Roman"/>
          <w:rtl w:val="0"/>
        </w:rPr>
        <w:t xml:space="preserve">iVice-President Kasal-Barsky, Treasurer Saari, SAL’s Columbres and Sabandal, Senators Almogela, Okamura, Stephens, Goo, Morimoto, Chen, and Tiletile</w:t>
      </w:r>
    </w:p>
    <w:p w:rsidR="00000000" w:rsidDel="00000000" w:rsidP="00000000" w:rsidRDefault="00000000" w:rsidRPr="00000000" w14:paraId="0000002D">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Naye(s): [0]</w:t>
      </w:r>
    </w:p>
    <w:p w:rsidR="00000000" w:rsidDel="00000000" w:rsidP="00000000" w:rsidRDefault="00000000" w:rsidRPr="00000000" w14:paraId="0000002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Abstention(s): [1] </w:t>
      </w:r>
      <w:r w:rsidDel="00000000" w:rsidR="00000000" w:rsidRPr="00000000">
        <w:rPr>
          <w:rFonts w:ascii="Times New Roman" w:cs="Times New Roman" w:eastAsia="Times New Roman" w:hAnsi="Times New Roman"/>
          <w:rtl w:val="0"/>
        </w:rPr>
        <w:t xml:space="preserve">Senator Dai</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BY THE 109TH SENATE ON THE 20TH OF APRIL 2022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